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3A3" w:rsidRPr="00224E29" w:rsidRDefault="00224E29">
      <w:pPr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</w:pPr>
      <w:r w:rsidRPr="00224E29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Bảng Danh mục các Doanh nghiệp nhà nước, Doanh nghiệp có vốn góp của nhà nước do Bộ Xây dựng làm đại diện chủ sở hữu (Tại thời điể</w:t>
      </w:r>
      <w:r w:rsidRPr="00224E29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m 3</w:t>
      </w:r>
      <w:bookmarkStart w:id="0" w:name="_GoBack"/>
      <w:bookmarkEnd w:id="0"/>
      <w:r w:rsidRPr="00224E29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1/12/2018)</w:t>
      </w:r>
    </w:p>
    <w:p w:rsidR="00224E29" w:rsidRPr="00224E29" w:rsidRDefault="00224E29" w:rsidP="00224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tbl>
      <w:tblPr>
        <w:tblW w:w="8789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686"/>
        <w:gridCol w:w="4252"/>
      </w:tblGrid>
      <w:tr w:rsidR="00224E29" w:rsidRPr="00224E29" w:rsidTr="00224E29">
        <w:trPr>
          <w:trHeight w:val="642"/>
          <w:tblHeader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Tên doanh nghiệp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Tỷ lệ vốn nhà nước </w:t>
            </w: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(tính theo mệnh giá)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 DOANH NGHIỆP NHÀ NƯỚC TRỰC THUỘC  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(02 DOANH NGHIỆP)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 Đầu tư phát triển nhà và đô thị (HUD)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29" w:rsidRPr="00224E29" w:rsidRDefault="00224E29" w:rsidP="00224E2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(Vốn NN: 3.405.62)</w:t>
            </w:r>
          </w:p>
          <w:p w:rsidR="00224E29" w:rsidRPr="00224E29" w:rsidRDefault="00224E29" w:rsidP="00224E29">
            <w:pPr>
              <w:spacing w:after="144" w:line="184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(</w:t>
            </w: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theo QĐ phê duyệt GTDN - đang xác định lại)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144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 Công nghiệp xi măng Việt Nam (VICEM)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29" w:rsidRPr="00224E29" w:rsidRDefault="00224E29" w:rsidP="00224E29">
            <w:pPr>
              <w:spacing w:after="144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Vốn NN: 14.002,56 tỷ đồng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(</w:t>
            </w:r>
            <w:bookmarkStart w:id="1" w:name="_ftnref1"/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ldChar w:fldCharType="begin"/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instrText xml:space="preserve"> HYPERLINK "http://www.moc.gov.vn/en/trang-chi-tiet/-/tin-chi-tiet/Z2jG/353507/631851/danh-muc-cac-doanh-nghiep-nha-nuoc-doanh-nghiep-co-von-gop-cua-nha-nuoc-do-bo-xay-dung-lam-dai-dien-chu-so-huu.html" \l "_ftn1" \o "" </w:instrTex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ldChar w:fldCharType="separate"/>
            </w:r>
            <w:r w:rsidRPr="00224E2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vertAlign w:val="superscript"/>
              </w:rPr>
              <w:t>[1]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fldChar w:fldCharType="end"/>
            </w:r>
            <w:bookmarkEnd w:id="1"/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</w:rPr>
              <w:t>)</w:t>
            </w:r>
          </w:p>
          <w:p w:rsidR="00224E29" w:rsidRPr="00224E29" w:rsidRDefault="00224E29" w:rsidP="00224E29">
            <w:pPr>
              <w:spacing w:after="144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(tạm theo BCTC 31/12/201-chưa được kiểm toán)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 DOANH NGHIỆP CÓ VỐN GÓP CỦA NHÀ NƯỚC DO BỘ XÂY DỰNG LÀM ĐẠI DIỆN CHỦ SỞ HỮU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 (11 DOANH NGHIỆP)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1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Tổng CTCP Đầu tư phát triển xây dựng(DIC CORP)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29" w:rsidRPr="00224E29" w:rsidRDefault="00224E29" w:rsidP="00224E29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49,65%/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VĐL</w:t>
            </w:r>
          </w:p>
          <w:p w:rsidR="00224E29" w:rsidRPr="00224E29" w:rsidRDefault="00224E29" w:rsidP="00224E29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(1.182,63 tỷ đồng/ 2.381,95 tỷ đồng)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 Xây dựng Hà Nội - CTCP(HANCORP)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98,8%/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VĐL</w:t>
            </w:r>
          </w:p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(1.393,55 tỷ đồng/</w:t>
            </w:r>
          </w:p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1.410,48 tỷ đồng)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 Xây dựng Bạch Đằng - CTCP (BDCC)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94,6%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/VĐL</w:t>
            </w:r>
          </w:p>
          <w:p w:rsidR="00224E29" w:rsidRPr="00224E29" w:rsidRDefault="00224E29" w:rsidP="00224E29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(205,622 tỷ đồng/ 217,359 tỷ đồng)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 Tư vấn xây dựng Việt Nam - CTCP (VNCC)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87,32%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/VĐL</w:t>
            </w:r>
          </w:p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(312,382 tỷ đồng/</w:t>
            </w:r>
          </w:p>
          <w:p w:rsidR="00224E29" w:rsidRPr="00224E29" w:rsidRDefault="00224E29" w:rsidP="00224E29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357,744 tỷ đồng)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1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 Lắp máy Việt Nam - CTCP(LILAMA)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29" w:rsidRPr="00224E29" w:rsidRDefault="00224E29" w:rsidP="00224E29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97,88%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/VĐL</w:t>
            </w:r>
          </w:p>
          <w:p w:rsidR="00224E29" w:rsidRPr="00224E29" w:rsidRDefault="00224E29" w:rsidP="00224E29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(780,359 tỷ đồng /</w:t>
            </w:r>
          </w:p>
          <w:p w:rsidR="00224E29" w:rsidRPr="00224E29" w:rsidRDefault="00224E29" w:rsidP="00224E29">
            <w:pPr>
              <w:spacing w:after="1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797,261 tỷ đồng)</w:t>
            </w:r>
          </w:p>
        </w:tc>
      </w:tr>
      <w:tr w:rsidR="00224E29" w:rsidRPr="00224E29" w:rsidTr="00224E29">
        <w:trPr>
          <w:trHeight w:val="692"/>
        </w:trPr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 Viglacera - CTCP(VIGLACERA)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56,67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%/VĐL</w:t>
            </w:r>
          </w:p>
          <w:p w:rsidR="00224E29" w:rsidRPr="00224E29" w:rsidRDefault="00224E29" w:rsidP="00224E29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(2.419,809 tỷ đồng/ 4.270,0tỷ đồng)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 Đầu tư Nước và Môi trường Việt Nam - CTCP(VIWASEEN)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98,16%/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VĐL</w:t>
            </w:r>
          </w:p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(569,511 tỷ đồng/ 580,186 tỷ đồng)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 Vật liệu xây dựng số 1 - CTCP (FiCO)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40,08%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/VĐL</w:t>
            </w:r>
          </w:p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(509,016 tỷ đồng/</w:t>
            </w:r>
          </w:p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1.270 tỷ đồng)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II.2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 doanh chưa trình Bộ Phương án thoái vốn: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(cập nhật đến hết ngày </w:t>
            </w: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lastRenderedPageBreak/>
              <w:t>20/7/2018)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 Xây dựng số 1 - CTCP (CC1)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40,53%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/VĐL</w:t>
            </w:r>
          </w:p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(445,83 tỷ đồng/</w:t>
            </w:r>
          </w:p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1.100 tỷ đồng)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 Cơ khí xây dựng - CTCP(COMA)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98,76%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/VĐL</w:t>
            </w:r>
          </w:p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(235,54 tỷ đồng/</w:t>
            </w:r>
          </w:p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238,5 tỷ đồng)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Tổng CTCP Sông Hồng(SONGHONGCORP)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49,04%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/VĐL</w:t>
            </w:r>
          </w:p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(132,411 tỷ đồng/</w:t>
            </w:r>
          </w:p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270 tỷ đồng)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II.3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 doanh thuộc Danh mục chuyển giao về SCIC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 LICOGI - CTCP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40,71%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/VĐL</w:t>
            </w:r>
          </w:p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(366,39 tỷ đồng/</w:t>
            </w:r>
          </w:p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900 tỷ đồng)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 IDICO - CTCP</w:t>
            </w:r>
          </w:p>
        </w:tc>
        <w:tc>
          <w:tcPr>
            <w:tcW w:w="425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36%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/VĐL</w:t>
            </w:r>
          </w:p>
          <w:p w:rsidR="00224E29" w:rsidRPr="00224E29" w:rsidRDefault="00224E29" w:rsidP="002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(1.080 tỷ đồng/</w:t>
            </w:r>
          </w:p>
          <w:p w:rsidR="00224E29" w:rsidRPr="00224E29" w:rsidRDefault="00224E29" w:rsidP="00224E29">
            <w:pPr>
              <w:spacing w:after="0" w:line="18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3.000 tỷ đồng)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III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CÁC TỔNG CÔNG TY VỪA CHUYỂN SANG CTCP 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(01 DOANH NGHIỆP)</w:t>
            </w:r>
          </w:p>
        </w:tc>
      </w:tr>
      <w:tr w:rsidR="00224E29" w:rsidRPr="00224E29" w:rsidTr="00224E29"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24E29" w:rsidRPr="00224E29" w:rsidRDefault="00224E29" w:rsidP="00224E2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Tổng công ty Sông Đà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4E29" w:rsidRPr="00224E29" w:rsidRDefault="00224E29" w:rsidP="00224E29">
            <w:pPr>
              <w:spacing w:after="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99,79%</w:t>
            </w: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/VĐL</w:t>
            </w:r>
          </w:p>
          <w:p w:rsidR="00224E29" w:rsidRPr="00224E29" w:rsidRDefault="00224E29" w:rsidP="002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(4.485,96 tỷ đồng/</w:t>
            </w:r>
          </w:p>
          <w:p w:rsidR="00224E29" w:rsidRPr="00224E29" w:rsidRDefault="00224E29" w:rsidP="00224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sz w:val="26"/>
                <w:szCs w:val="26"/>
              </w:rPr>
              <w:t>4.495,37 tỷ đồng)</w:t>
            </w:r>
          </w:p>
          <w:p w:rsidR="00224E29" w:rsidRPr="00224E29" w:rsidRDefault="00224E29" w:rsidP="00224E29">
            <w:pPr>
              <w:spacing w:after="2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4E29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(Theo QĐ số 134/QĐ-BXD ngày 07/02/2018)</w:t>
            </w:r>
          </w:p>
        </w:tc>
      </w:tr>
    </w:tbl>
    <w:p w:rsidR="00224E29" w:rsidRPr="00224E29" w:rsidRDefault="00224E29" w:rsidP="00224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4E29">
        <w:rPr>
          <w:rFonts w:ascii="Times New Roman" w:eastAsia="Times New Roman" w:hAnsi="Times New Roman" w:cs="Times New Roman"/>
          <w:color w:val="333333"/>
          <w:sz w:val="26"/>
          <w:szCs w:val="26"/>
        </w:rPr>
        <w:br w:type="textWrapping" w:clear="all"/>
      </w:r>
    </w:p>
    <w:p w:rsidR="00224E29" w:rsidRPr="00224E29" w:rsidRDefault="00224E29" w:rsidP="00224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4E29">
        <w:rPr>
          <w:rFonts w:ascii="Times New Roman" w:eastAsia="Times New Roman" w:hAnsi="Times New Roman" w:cs="Times New Roman"/>
          <w:color w:val="333333"/>
          <w:sz w:val="26"/>
          <w:szCs w:val="26"/>
        </w:rPr>
        <w:pict>
          <v:rect id="_x0000_i1025" style="width:154.45pt;height:.75pt" o:hrpct="330" o:hrstd="t" o:hr="t" fillcolor="#a0a0a0" stroked="f"/>
        </w:pict>
      </w:r>
    </w:p>
    <w:bookmarkStart w:id="2" w:name="_ftn1"/>
    <w:p w:rsidR="00224E29" w:rsidRPr="00224E29" w:rsidRDefault="00224E29" w:rsidP="00224E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4E29">
        <w:rPr>
          <w:rFonts w:ascii="Times New Roman" w:eastAsia="Times New Roman" w:hAnsi="Times New Roman" w:cs="Times New Roman"/>
          <w:color w:val="333333"/>
          <w:sz w:val="26"/>
          <w:szCs w:val="26"/>
        </w:rPr>
        <w:fldChar w:fldCharType="begin"/>
      </w:r>
      <w:r w:rsidRPr="00224E29">
        <w:rPr>
          <w:rFonts w:ascii="Times New Roman" w:eastAsia="Times New Roman" w:hAnsi="Times New Roman" w:cs="Times New Roman"/>
          <w:color w:val="333333"/>
          <w:sz w:val="26"/>
          <w:szCs w:val="26"/>
        </w:rPr>
        <w:instrText xml:space="preserve"> HYPERLINK "http://www.moc.gov.vn/en/trang-chi-tiet/-/tin-chi-tiet/Z2jG/353507/631851/danh-muc-cac-doanh-nghiep-nha-nuoc-doanh-nghiep-co-von-gop-cua-nha-nuoc-do-bo-xay-dung-lam-dai-dien-chu-so-huu.html" \l "_ftnref1" \o "" </w:instrText>
      </w:r>
      <w:r w:rsidRPr="00224E29">
        <w:rPr>
          <w:rFonts w:ascii="Times New Roman" w:eastAsia="Times New Roman" w:hAnsi="Times New Roman" w:cs="Times New Roman"/>
          <w:color w:val="333333"/>
          <w:sz w:val="26"/>
          <w:szCs w:val="26"/>
        </w:rPr>
        <w:fldChar w:fldCharType="separate"/>
      </w:r>
      <w:r w:rsidRPr="00224E29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</w:rPr>
        <w:t>[1]</w:t>
      </w:r>
      <w:r w:rsidRPr="00224E29">
        <w:rPr>
          <w:rFonts w:ascii="Times New Roman" w:eastAsia="Times New Roman" w:hAnsi="Times New Roman" w:cs="Times New Roman"/>
          <w:color w:val="333333"/>
          <w:sz w:val="26"/>
          <w:szCs w:val="26"/>
        </w:rPr>
        <w:fldChar w:fldCharType="end"/>
      </w:r>
      <w:bookmarkEnd w:id="2"/>
      <w:r w:rsidRPr="00224E29">
        <w:rPr>
          <w:rFonts w:ascii="Times New Roman" w:eastAsia="Times New Roman" w:hAnsi="Times New Roman" w:cs="Times New Roman"/>
          <w:color w:val="333333"/>
          <w:sz w:val="26"/>
          <w:szCs w:val="26"/>
        </w:rPr>
        <w:t> Chưa cập nhật theo Giá trị vốn CSH xác định lại khi CPH VICEM (tư vấn trình lần 2 là 27.602,37 tỷ đồng).</w:t>
      </w:r>
    </w:p>
    <w:p w:rsidR="00224E29" w:rsidRPr="00224E29" w:rsidRDefault="00224E29" w:rsidP="00224E29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224E29">
        <w:rPr>
          <w:rFonts w:ascii="Times New Roman" w:eastAsia="Times New Roman" w:hAnsi="Times New Roman" w:cs="Times New Roman"/>
          <w:color w:val="333333"/>
          <w:sz w:val="26"/>
          <w:szCs w:val="26"/>
        </w:rPr>
        <w:t> </w:t>
      </w:r>
    </w:p>
    <w:p w:rsidR="00224E29" w:rsidRPr="00224E29" w:rsidRDefault="00224E29">
      <w:pPr>
        <w:rPr>
          <w:rFonts w:ascii="Times New Roman" w:hAnsi="Times New Roman" w:cs="Times New Roman"/>
          <w:sz w:val="26"/>
          <w:szCs w:val="26"/>
        </w:rPr>
      </w:pPr>
    </w:p>
    <w:sectPr w:rsidR="00224E29" w:rsidRPr="00224E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29"/>
    <w:rsid w:val="00224E29"/>
    <w:rsid w:val="00B1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E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4E2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24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14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43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013942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814053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546226">
                          <w:marLeft w:val="0"/>
                          <w:marRight w:val="-27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375611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949912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426263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380217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58398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611247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3589089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7612503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417003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4283528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767248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1482585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0320769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947879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2438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002220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659778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211475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426211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687504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652740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2607279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91234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17206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14283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743481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539072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37073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989417">
                          <w:marLeft w:val="-108"/>
                          <w:marRight w:val="-108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3617567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003439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627152">
                          <w:marLeft w:val="0"/>
                          <w:marRight w:val="-108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290633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514973">
                          <w:marLeft w:val="0"/>
                          <w:marRight w:val="0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77294">
                          <w:marLeft w:val="-104"/>
                          <w:marRight w:val="-108"/>
                          <w:marTop w:val="0"/>
                          <w:marBottom w:val="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6063612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532870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115959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4985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30541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590268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61001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80293">
                          <w:marLeft w:val="-104"/>
                          <w:marRight w:val="-108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291493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499540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2635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22831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698970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3355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8560290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80953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769475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60499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905833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4436774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9180160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537545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201914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309455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7306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39048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9480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3578853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20849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466604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760049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534889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713673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986858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568100">
                          <w:marLeft w:val="0"/>
                          <w:marRight w:val="1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841566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272567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58323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132835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8421707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145889">
                          <w:marLeft w:val="0"/>
                          <w:marRight w:val="0"/>
                          <w:marTop w:val="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867247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958405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8427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814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223395">
                          <w:marLeft w:val="0"/>
                          <w:marRight w:val="0"/>
                          <w:marTop w:val="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671466">
                          <w:marLeft w:val="0"/>
                          <w:marRight w:val="0"/>
                          <w:marTop w:val="20"/>
                          <w:marBottom w:val="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80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57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96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84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28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187">
          <w:marLeft w:val="0"/>
          <w:marRight w:val="-27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54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84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721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770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93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9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341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456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729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920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137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70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855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479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643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321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645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82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97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37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8537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1315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84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156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99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1612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352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665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764">
          <w:marLeft w:val="-108"/>
          <w:marRight w:val="-108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1682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025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27081">
          <w:marLeft w:val="0"/>
          <w:marRight w:val="-108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3587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9216">
          <w:marLeft w:val="0"/>
          <w:marRight w:val="0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6305">
          <w:marLeft w:val="-104"/>
          <w:marRight w:val="-108"/>
          <w:marTop w:val="0"/>
          <w:marBottom w:val="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5067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73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9978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1907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3865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65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972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473">
          <w:marLeft w:val="-104"/>
          <w:marRight w:val="-108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87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67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71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214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307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821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644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269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298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526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88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63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7915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699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103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5914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098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826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04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0852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58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7233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7726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917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2275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35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7733">
          <w:marLeft w:val="0"/>
          <w:marRight w:val="1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2138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74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9049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305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76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4">
          <w:marLeft w:val="0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29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01543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98621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386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370">
          <w:marLeft w:val="0"/>
          <w:marRight w:val="0"/>
          <w:marTop w:val="2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9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2019-06-28T07:27:00Z</dcterms:created>
  <dcterms:modified xsi:type="dcterms:W3CDTF">2019-06-28T07:28:00Z</dcterms:modified>
</cp:coreProperties>
</file>